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Tillsynsbegäran - information om höga naturvärden och fridlysta arter i avverkningsanmälan A 8927-2023 i Vilhelmina kommun</w:t>
      </w:r>
    </w:p>
    <w:p>
      <w:r>
        <w:t>Detta dokument behandlar höga naturvärden i avverkningsamälan A 8927-2023 i Vilhelmina kommun. Denna avverkningsanmälan inkom 2023-02-15 och omfattar 1510,3 ha.</w:t>
      </w:r>
    </w:p>
    <w:p>
      <w:r>
        <w:t>Vi begär härmed att Skogsstyrelsen samråder med Länsstyrelsen och fattar beslut enligt miljöbalken som säkerställer att skogens höga naturvärden bevaras samt säkerställer att EU-lagstiftning efterlevs och att artskyddsbrott förhindras. Vi önskar även ta del av de ställningstaganden och beslut som myndigheterna meddelar till följd av aktuell avverkningsanmälan och föreningens inlaga (se 34 § förvaltningslagen).</w:t>
      </w:r>
    </w:p>
    <w:p>
      <w:r>
        <w:t>Nedan beskrivs fynd av naturvårdsarter och fridlysta arter som gjorts i det avverkningsanmälda området. I BILAGA 1 finns artfakta om fridlysta arter.</w:t>
      </w:r>
    </w:p>
    <w:p>
      <w:pPr>
        <w:pStyle w:val="Heading1"/>
      </w:pPr>
      <w:r>
        <w:t>Naturvårdsarter</w:t>
      </w:r>
    </w:p>
    <w:p>
      <w:r>
        <w:t>I avverkningsanmälan har följande 45 naturvårdsarter hittats: fläckporing (VU), gräddporing (VU), lappticka (VU), mörk blåslav (VU), ostticka (VU), rynkskinn (VU), tajgaskinn (VU), tallbit (VU, §4), blågrå svartspik (NT), doftskinn (NT), gammelgransskål (NT), garnlav (NT), granticka (NT), gränsticka (NT), harticka (NT), knottrig blåslav (NT), kolflarnlav (NT), lappmes (NT, §4), lunglav (NT), nordtagging (NT), rosenticka (NT), rödbrun blekspik (NT), skrovellav (NT), spillkråka (NT, §4), stjärntagging (NT), talltita (NT, §4), tretåig hackspett (NT, §4), ullticka (NT), vedflamlav (NT), vedskivlav (NT), vitgrynig nållav (NT), vitplätt (NT), vitskaftad svartspik (NT), blodticka (S), bårdlav (S), korallrot (S, §8), luddlav (S), mörk husmossa (S), norrlandslav (S), rävticka (S), skinnlav (S), stuplav (S), trådticka (S), vedticka (S) och ögonpyrola (S). Av dessa är 33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mycket höga naturvärden. I Figur 1 visas en karta över det avverkningsamnälda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5885377"/>
            <wp:docPr id="1" name="Picture 1"/>
            <wp:cNvGraphicFramePr>
              <a:graphicFrameLocks noChangeAspect="1"/>
            </wp:cNvGraphicFramePr>
            <a:graphic>
              <a:graphicData uri="http://schemas.openxmlformats.org/drawingml/2006/picture">
                <pic:pic>
                  <pic:nvPicPr>
                    <pic:cNvPr id="0" name="A 8927-2023.png"/>
                    <pic:cNvPicPr/>
                  </pic:nvPicPr>
                  <pic:blipFill>
                    <a:blip r:embed="rId16"/>
                    <a:stretch>
                      <a:fillRect/>
                    </a:stretch>
                  </pic:blipFill>
                  <pic:spPr>
                    <a:xfrm>
                      <a:off x="0" y="0"/>
                      <a:ext cx="5486400" cy="5885377"/>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7229433, E 537700 i SWEREF 99 TM.</w:t>
      </w:r>
    </w:p>
    <w:p>
      <w:pPr>
        <w:pStyle w:val="Heading1"/>
      </w:pPr>
      <w:r>
        <w:t>Fridlysta arter</w:t>
      </w:r>
    </w:p>
    <w:p>
      <w:r>
        <w:t xml:space="preserve">Följande fridlysta arter har sina livsmiljöer och växtplatser i den avverkningsanmälda skogen: </w:t>
      </w:r>
    </w:p>
    <w:p>
      <w:pPr>
        <w:pStyle w:val="ListBullet"/>
      </w:pPr>
      <w:r>
        <w:t>Tallbit (VU, §4)</w:t>
      </w:r>
    </w:p>
    <w:p>
      <w:pPr>
        <w:pStyle w:val="ListBullet"/>
      </w:pPr>
      <w:r>
        <w:t>Lappmes (NT, §4)</w:t>
      </w:r>
    </w:p>
    <w:p>
      <w:pPr>
        <w:pStyle w:val="ListBullet"/>
      </w:pPr>
      <w:r>
        <w:t>Spillkråka (NT, §4)</w:t>
      </w:r>
    </w:p>
    <w:p>
      <w:pPr>
        <w:pStyle w:val="ListBullet"/>
      </w:pPr>
      <w:r>
        <w:t>Talltita (NT, §4)</w:t>
      </w:r>
    </w:p>
    <w:p>
      <w:pPr>
        <w:pStyle w:val="ListBullet"/>
      </w:pPr>
      <w:r>
        <w:t>Tretåig hackspett (NT, §4)</w:t>
      </w:r>
    </w:p>
    <w:p>
      <w:pPr>
        <w:pStyle w:val="ListBullet"/>
      </w:pPr>
      <w:r>
        <w:t>Korallrot (S, §8)</w:t>
      </w:r>
    </w:p>
    <w:p>
      <w:r>
        <w:br/>
        <w:t xml:space="preserve">Observera att medlemsländerna är skyldiga att agera i enlighet med EU:s fågeldirektiv där det uttryckligen står att direktivet gäller för fåglar samt för deras ägg, bon och </w:t>
      </w:r>
      <w:r>
        <w:rPr>
          <w:b/>
        </w:rPr>
        <w:t xml:space="preserve">livsmiljöer </w:t>
      </w:r>
      <w:r>
        <w:t>(artikel 1). Vidare att de åtgärder som vidtas inte får leda till en försämring av den nuvarande situationen beträffande bevarandet av de fågelarter som avses i artikel 1 (artikel 13). Fågeldirektivet är styrande för tillsynsansvariga myndigheters ärendehantering, ställningstaganden och beslutsfattande.</w:t>
      </w:r>
    </w:p>
    <w:p>
      <w:r>
        <w:br w:type="page"/>
      </w:r>
    </w:p>
    <w:p>
      <w:pPr>
        <w:pStyle w:val="Title"/>
      </w:pPr>
      <w:r>
        <w:t>BILAGA 1 - Fridlysta arter</w:t>
      </w:r>
    </w:p>
    <w:p>
      <w:pPr>
        <w:pStyle w:val="Heading1"/>
      </w:pPr>
      <w:r>
        <w:t>Tretåig hackspett – ekologi samt krav på livsmiljön</w:t>
      </w:r>
    </w:p>
    <w:p>
      <w:r>
        <w:t xml:space="preserve">Tretåig hackspett (NT) är fridlyst enligt §4 Artskyddsförordningen och finns med som prioriterad art i Skogsstyrelsen vägledning för skogsbruket (bilaga 4 till SVL). I vägledningen står bland annat att: </w:t>
      </w:r>
      <w:r>
        <w:rPr>
          <w:i/>
        </w:rPr>
        <w:t xml:space="preserve">“Tretåig hackspett har stora arealkrav och höga krav på sin livsmiljö. Omdaningen av naturskogar till kulturskogar medför en förlust av viktiga miljöer, något som förstärks av ökad fragmentering till följd av avverkningar.” </w:t>
      </w:r>
      <w:r>
        <w:t xml:space="preserve">Vidare att: </w:t>
      </w:r>
      <w:r>
        <w:rPr>
          <w:i/>
        </w:rPr>
        <w:t>“Områden med dokumenterad permanent förekomst i naturskogsmiljöer har vanligen så stora naturvärden att skogsbruk är olämpligt”.</w:t>
      </w:r>
    </w:p>
    <w:p>
      <w:r>
        <w:t>Tretåig hackspett är beroende av större sammanhängande naturskogar med kontinuerlig tillgång och nybildning av död ved och fragmentering av livsmiljöerna utgör ett stort hot mot arten (se exempelvis Stachura-Skierczynska et al., 2009; Wesolowski et al., 2005; Butler et al., 2004; Pakkala et al., 2002; Amcoff et al., 1996; Virkkala, 1991).</w:t>
      </w:r>
    </w:p>
    <w:p>
      <w:r>
        <w:t xml:space="preserve">Permanenta revir av tretåig hackspett karaktäriseras ofta av artens typiska ringformigt ordnade hackmärken på framför allt gamla granar. För att säkerställa att inte revir av tretåig hackspett drabbas av avverkningsplanerna bör en inventering göras i området både under häckningstid och under vintern, då arten utnyttjar betydligt större områden än under sommarens häckningsrevir. Storleken på häckningsreviret varierar med skogstypen, förekomsten av död ved och graden av fragmentering, men är i allmänhet i storleksordningen 25–100 hektar. </w:t>
      </w:r>
    </w:p>
    <w:p>
      <w:r>
        <w:t>Förutom fridlysning enligt §4 Artskyddsförordningen är tretåig hackspett även förtecknad i EU:s fågeldirektiv bilaga 1. Den ingår också i Natura 2000 och är förtecknad i Bernkonventionen bilaga II (strikt skyddade djurarter).</w:t>
      </w:r>
    </w:p>
    <w:p>
      <w:pPr>
        <w:pStyle w:val="Heading2"/>
      </w:pPr>
      <w:r>
        <w:t>Referenser - tretåig hackspett</w:t>
      </w:r>
    </w:p>
    <w:p>
      <w:r>
        <w:t xml:space="preserve">Amcoff, M. &amp; Eriksson, P. 1996. </w:t>
      </w:r>
      <w:r>
        <w:rPr>
          <w:i/>
        </w:rPr>
        <w:t xml:space="preserve">Förekomst av tretåig hackspett Picoides tridactylus på bestånds- och landskapsnivå. </w:t>
      </w:r>
      <w:r>
        <w:t>Ornis Svecica 6: 107–119</w:t>
      </w:r>
    </w:p>
    <w:p>
      <w:r>
        <w:t xml:space="preserve">Butler, R., Angelstam, P., Ekelund, P. &amp; Schlaeffer, R. 2004. </w:t>
      </w:r>
      <w:r>
        <w:rPr>
          <w:i/>
        </w:rPr>
        <w:t xml:space="preserve">Dead wood threshold values for the three-toed woodpecker presence in boreal and sub-Alpine forest. </w:t>
      </w:r>
      <w:r>
        <w:t>Biological conservation 119(3): 305–318</w:t>
      </w:r>
    </w:p>
    <w:p>
      <w:r>
        <w:t xml:space="preserve">Pakkala, T., Hanski, I. &amp; Tomppo, E. 2002. </w:t>
      </w:r>
      <w:r>
        <w:rPr>
          <w:i/>
        </w:rPr>
        <w:t xml:space="preserve">Spatial ecology of the three-toed woodpecker in managed forest landscapes. </w:t>
      </w:r>
      <w:r>
        <w:t>Silva Fennica 36(1): 279-288.</w:t>
      </w:r>
    </w:p>
    <w:p>
      <w:r>
        <w:t xml:space="preserve">Skogsstyrelsen, 2016. </w:t>
      </w:r>
      <w:r>
        <w:rPr>
          <w:i/>
        </w:rPr>
        <w:t xml:space="preserve">Vägledning för hänsyn till fåglar – Tretåig hackspett. </w:t>
      </w:r>
      <w:r>
        <w:t>www.skogsstyrelsen.se</w:t>
      </w:r>
    </w:p>
    <w:p>
      <w:r>
        <w:t xml:space="preserve">Stachura-Skierczynska, K., Tumiel, T. &amp; Skierczynski, M. 2009. </w:t>
      </w:r>
      <w:r>
        <w:rPr>
          <w:i/>
        </w:rPr>
        <w:t xml:space="preserve">Habitat prediction model for three-toed woodpecker and its implications for the conservation of biologically valuable forests. </w:t>
      </w:r>
      <w:r>
        <w:t>Forest Ecology and Management 258(5): 697-703.</w:t>
      </w:r>
    </w:p>
    <w:p>
      <w:r>
        <w:t xml:space="preserve">Virkkala, R. 1991. </w:t>
      </w:r>
      <w:r>
        <w:rPr>
          <w:i/>
        </w:rPr>
        <w:t xml:space="preserve">Population trends of forest birds in a Finnish Lapland landscape of large habitat blocks – Consequences of stochastic environmental variation or regional habitat alteration. </w:t>
      </w:r>
      <w:r>
        <w:t>Biological conservation 56(2): 223–240</w:t>
      </w:r>
    </w:p>
    <w:p>
      <w:r>
        <w:t xml:space="preserve">Wesolowski, T., Czeszczewik, D. &amp; Rowinski, P. 2005. </w:t>
      </w:r>
      <w:r>
        <w:rPr>
          <w:i/>
        </w:rPr>
        <w:t xml:space="preserve">Effects of forest management on Three-toed Woodpecker Picoides tridactylus distribution in the Bialowieza Forest (NE Poland): conservation implications. </w:t>
      </w:r>
      <w:r>
        <w:t>Acta Ornithologica 40(1): 53–60.</w:t>
      </w:r>
    </w:p>
    <w:p>
      <w:pPr>
        <w:pStyle w:val="Heading1"/>
      </w:pPr>
      <w:r>
        <w:t>Talltita – ekologi samt krav på livsmiljön</w:t>
      </w:r>
    </w:p>
    <w:p>
      <w:r>
        <w:t xml:space="preserve">Talltita är rödlistad som NT, fridlyst och prioriterad art i Skogsvårdslagen. Den omfattas av EU:s fågeldirektiv. Arten har minskat kraftigt de senaste 30 åren och minskningstakten innevarande 10-årsperiod beräknas till 20 (10-30) % (SLU Artdatabanken, 2022). </w:t>
      </w:r>
    </w:p>
    <w:p>
      <w:r>
        <w:t>Talltita föredrar större sammanhängande barrskogar, och finns såväl i tallskog som granskog och i lövblandad barrskog. Skogens struktur är viktig och ska helst vara flerskiktad med riklig underväxt av mindre granar, björk och andra lövträd och buskar. Tillgång på murknande högstubbar är särskilt viktig, eftersom talltitan helst själv hackar ut sitt bohål (SLU Artdatabanken, 2022).</w:t>
      </w:r>
    </w:p>
    <w:p>
      <w:r>
        <w:t>Det finns flera studier som visar att talltita är känslig för gallring och inte överlever när dess livsmiljö kalavverkas (Eggers and Low, 2014; Griesser et al., 2007; Klein, 2020). Talltitans revir är förhållandevis stora, 10–20 hektar och arten missgynnas när skogen fragmenteras. Kalavverkning av större delar av reviret innebär att det överges (Artdatabanken, 2021).</w:t>
      </w:r>
    </w:p>
    <w:p>
      <w:r>
        <w:t>Talltitan är synnerligen trogen sitt revir så länge paret lever och biotopen förblir intakt. Paret stannar i sitt revir året om. En förlust av ett revir har därför en stor inverkan på den lokala populationen och trakthyggesbruket anses vara orsak till den svenska populationens kraftiga minskning. Talltiteparets revirtrohet innebär att närhelst under året man observerar en adult talltita så ingår denna plats i reviret (Siffczyk et al., 2003; Ekman, 1979).</w:t>
      </w:r>
    </w:p>
    <w:p>
      <w:pPr>
        <w:pStyle w:val="Heading2"/>
      </w:pPr>
      <w:r>
        <w:t>Referenser - talltita</w:t>
      </w:r>
    </w:p>
    <w:p>
      <w:r>
        <w:t xml:space="preserve">Eggers, S., Low, M., 2014. </w:t>
      </w:r>
      <w:r>
        <w:rPr>
          <w:i/>
        </w:rPr>
        <w:t xml:space="preserve">Differential demographic responses of sympatric Parids to vegetation management in boreal forest. </w:t>
      </w:r>
      <w:r>
        <w:t xml:space="preserve">For. Ecol. Manage. 319, 169–175. </w:t>
      </w:r>
    </w:p>
    <w:p>
      <w:r>
        <w:t xml:space="preserve">Ekman, J., 1979. </w:t>
      </w:r>
      <w:r>
        <w:rPr>
          <w:i/>
        </w:rPr>
        <w:t xml:space="preserve">Coherence, composition and territories of winter social groups of the Willow Tit Parus montanus and the Crested Tit P. cristatus. </w:t>
      </w:r>
      <w:r>
        <w:t xml:space="preserve">Ornis Scandinavica, 10, pp 56-68 </w:t>
      </w:r>
    </w:p>
    <w:p>
      <w:r>
        <w:t xml:space="preserve">Griesser, M., Nystrand, M., Eggers, S., Ekman, J., 2007. </w:t>
      </w:r>
      <w:r>
        <w:rPr>
          <w:i/>
        </w:rPr>
        <w:t xml:space="preserve">Impact of forestry practices on fitness correlates and population productivity in an open-nesting bird species. </w:t>
      </w:r>
      <w:r>
        <w:t xml:space="preserve">Conserv. Biol. 21, 767–774. https://doi.org/10.1111/j.1523- 1739.2007.00675.x </w:t>
      </w:r>
    </w:p>
    <w:p>
      <w:r>
        <w:t xml:space="preserve">Klein, J., 2020. </w:t>
      </w:r>
      <w:r>
        <w:rPr>
          <w:i/>
        </w:rPr>
        <w:t xml:space="preserve">The forgotten forest – On thinning, retention, and biodiversity in the boreal forest. </w:t>
      </w:r>
      <w:r>
        <w:t>Doctoral Thesis No. 2020:50</w:t>
      </w:r>
    </w:p>
    <w:p>
      <w:r>
        <w:t xml:space="preserve">Siffczyk, C., Brotons, L., Kangas, K., Orell, M., 2003. </w:t>
      </w:r>
      <w:r>
        <w:rPr>
          <w:i/>
        </w:rPr>
        <w:t xml:space="preserve">Home range size of willow tits. </w:t>
      </w:r>
      <w:r>
        <w:t>Oecologica, 136, 635–642 (2003)</w:t>
      </w:r>
    </w:p>
    <w:p>
      <w:r>
        <w:t xml:space="preserve">SLU Artdatabanken, 2021. </w:t>
      </w:r>
      <w:r>
        <w:rPr>
          <w:i/>
        </w:rPr>
        <w:t xml:space="preserve">Artfaktablad. Naturvård – artfakta. </w:t>
      </w:r>
      <w:r>
        <w:t xml:space="preserve">SLU Artdatabanken, Uppsala </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2023-10-09</w:t>
      <w:br/>
      <w:br/>
    </w:r>
    <w:r>
      <w:t>Till: Skogsstyrelsen</w:t>
      <w:br/>
    </w:r>
    <w:r>
      <w:t>Kopia: Länsstyrelsen</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ED360C"/>
    <w:pPr>
      <w:spacing w:after="80" w:line="240" w:lineRule="auto"/>
    </w:pPr>
    <w:rPr>
      <w:bCs/>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